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  <w:br w:type="textWrapping"/>
        <w:t xml:space="preserve">ОБ ИГРЕ «ЭКОНОМИЧЕСКОЕ ПУТЕШЕСТВИЕ»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СРЕДИ УЧАЩИХСЯ 5–6 КЛАССОВ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 Настоящее положение об экономической игре для учащихся 5–6-х классов (далее – Положение) определяет порядок организации и проведения игры «Экономическое путешествие» (далее – Игра), её организационно-методическое обеспечение, порядок участия в Игре и определения победителей.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 Игра проводится Национальным исследовательским университетом «Высшая школа экономики» (Пермь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совместно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МАОУ «Лицей № 10» г. Перми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 Игра проводится с целью выявления и поддержки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одаренных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детей, развития их интересов и способностей, содействия их самоопределению и, в перспективе, формированию их как будущих высококвалифицированных специалистов.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 Основными задачами Игры являются: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1.4.1. популяризация экономических знаний среди учащихся как эффективного средства их социализации;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1.4.2. содействие развитию информационно-коммуникативных и творческих способностей учащихся;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1.4.3. формирование банка данных одарённых детей для дальнейшего создания условий развития их способностей и интересов в области экономических знаний.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В Игре могут принимать участие учащиеся общеобразовательных учреждений с 5-го по 6-й класс.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 Порядок проведения и сроки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2.1. Игра проводится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ноября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онлайн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командных соревнований.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 Информация об Игре и порядке участия в ней, о победителях и призерах является открытой, публикуется на сайте НИУ ВШЭ – Пермь и МАОУ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“Лицей №10” г. Перми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 Организационно-методическое обеспечение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 Для организационно-методического обеспечения Игры создается оргкомитет, методическая комиссия и жюри.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Состав оргкомитета, методической комиссии и жюри формируется из представителей профессорско-преподавательского состава НИУ ВШЭ – Пермь и членов городского методического объединения учителей экономики.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 Функции предметно-методической комиссии, предметного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 Методическая комиссия: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разрабатывает задания для Игры;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разрабатывает методические рекомендации по проведению Игры;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 предложения по вопросам, связанным с совершенствованием проведения и методического обеспечения Игры;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участвовать в рассмотрении конфликтных ситуаций, возникающих при проведении Игры.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 Жюри Игры: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оценивает результаты выполнения заданий Игры;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определяет победителей и призеров;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готовит предложения по награждению победителей и призеров;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представляет отчет 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проведении Игры.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Оргкомитет Игры: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организует проведение Игры;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информирует руководителей, учителей и учащихся образовательных учреждений о сроках и правилах проведения Игры;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определяет форму проведения Игры и осуществляет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организационно-методическое обеспечение;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вносит предложения по совершенствованию организационно-методического обеспечения Игры;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вносит предложения по составу методической комиссии и жюри;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утверждает списки участников, победителей и призеров Игры;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вносит предложения по квотам победителей Игры;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заслушивает отчеты методической комисси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жюри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 конфликтные ситуации, возникшие при проведении Игры;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вручает участникам, победителям и призерам Игры сертификаты и награды;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представляет отчет по итогам Игры.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Порядок участия в Игре.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 В Игре принимают участие команды учащихся с 5-го по 6-й классы. Образовательное учреждение для участия в игре заявляет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количестве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шести-семи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учащихся.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 Количество команд, участвующих в игре ограничено 16 командами.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 До 10 ноября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необходимо заполнить заявку на участие команды образовательного учреждения в Игре по ссылке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https://docs.google.com/forms/d/e/1FAIpQLSeAk9y1Argce4W67E3ChJfBUt2aJZsqt1gMNSSMn76ghJhYbQ/viewform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 Игра проводится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ноября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года. Начало игры – 14:00. Подробная информация об игре содержится в Информационном письме (приложение 1)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Порядок определения и награждения участников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 В результате выполнения конкурсных заданий команды набирают баллы, что позволяет по окончании игры сформировать рейтинговую таблицу и определить победителей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игры.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Команды МАОУ “Лицей №10” участвуют в игре наравне со всеми, при этом в общий рейтинг не включаются.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Победителями считаются команды, которые заняли три первых места согласно рейтинговой таблице.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считаются команды, которые заняли места с четвертого по шестое согласно рейтинговой таблице.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 Все участники Игры получают Сертификат участника.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 Победители и призеры Игры получают дипломы и подар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 от МАОУ “Лицей №10” г.Перми и НИУ ВШЭ – Пермь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6.6. Оргкомитет предоставляет на имя руководителя образовательного учреждения рекомендацию о поощрении победителей и призеров Игры, а также учителей, их подготовивших.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Финансовое обеспечение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 Финансовое обеспечение организации и проведения Игры осуществляется за счет средств НИУ ВШЭ – Пермь.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 Взимание платы (в какой-либо форме) за участие в Игре не допускается.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«Экономическое путешествие»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Целевая аудитория: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учащиеся 5–6-х классов образовательных учреждений Пермского края.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у учащихся экономического образа мышления;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популяризация экономических знаний.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 проведения Игры.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Игра будет проводиться по этапам, типологически похожим на игру по станциям. Все участники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 ноября в 14-00 по пермскому времени подключаются к online-конференции, ссылка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которую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будет отправлена руководителям команд на адрес, указанный при регистрации,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3 дня до проведения игры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игры: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14:00.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Игра заключается в выполнении заданий на платформе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highlight w:val="white"/>
            <w:rtl w:val="0"/>
          </w:rPr>
          <w:t xml:space="preserve">onlinetestpad.com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каждое вовремя и верно выполненное задание команда получает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невыполненное задание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начисляются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домашнего задания командам необходимо подготовить “визитку” –  представление команды, включающее название, девиз и творческую миниатюру о важности финансовой грамотности. Максимальное время выступления каждой команды 2 минуты.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Игры: общий тайминг 14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–17:0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14:00–14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приветствие, представление команд-участниц, жюри, презентация игры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выполнение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заданий командами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15-45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знакомство команд, представление визиток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16-35 – подведение итогов, объявление результатов, рефлексия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ВАЖНО: для прохождения каждого задания потребуется вводить название команды!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eAk9y1Argce4W67E3ChJfBUt2aJZsqt1gMNSSMn76ghJhYbQ/viewform" TargetMode="External"/><Relationship Id="rId8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LvWeXtMJJWVFzlGR4abSujeMQ==">AMUW2mUYcbid9R9OB7fF7356julec8d5rheY5IJ8Y+D1lQUysdt5qvl9JxBVgUMS0tg3g3iiOkMVAAlLrsoWgIy3D3JZmeQ7Pbmu5/e8o9AMd3AgTE9AFD3CgAFzMX6YtU5NrWV3lt5C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2020-12-03T15:22:00Z</dcterms:created>
  <dc:creator>Пользователь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